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345" w:tblpY="3106"/>
        <w:tblOverlap w:val="never"/>
        <w:tblW w:w="4536" w:type="pct"/>
        <w:tblInd w:w="0" w:type="dxa"/>
        <w:shd w:val="clear" w:color="auto" w:fill="FFFFFF"/>
        <w:tblLayout w:type="autofit"/>
        <w:tblCellMar>
          <w:top w:w="15" w:type="dxa"/>
          <w:left w:w="15" w:type="dxa"/>
          <w:bottom w:w="15" w:type="dxa"/>
          <w:right w:w="15" w:type="dxa"/>
        </w:tblCellMar>
      </w:tblPr>
      <w:tblGrid>
        <w:gridCol w:w="1053"/>
        <w:gridCol w:w="5026"/>
        <w:gridCol w:w="1087"/>
        <w:gridCol w:w="2174"/>
        <w:gridCol w:w="1953"/>
        <w:gridCol w:w="1397"/>
      </w:tblGrid>
      <w:tr>
        <w:tblPrEx>
          <w:shd w:val="clear" w:color="auto" w:fill="FFFFFF"/>
          <w:tblCellMar>
            <w:top w:w="15" w:type="dxa"/>
            <w:left w:w="15" w:type="dxa"/>
            <w:bottom w:w="15" w:type="dxa"/>
            <w:right w:w="15" w:type="dxa"/>
          </w:tblCellMar>
        </w:tblPrEx>
        <w:trPr>
          <w:trHeight w:val="567" w:hRule="atLeast"/>
        </w:trPr>
        <w:tc>
          <w:tcPr>
            <w:tcW w:w="415"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ascii="宋体" w:hAnsi="宋体" w:eastAsia="宋体" w:cs="宋体"/>
                <w:color w:val="383838"/>
                <w:kern w:val="0"/>
                <w:sz w:val="24"/>
                <w:szCs w:val="24"/>
              </w:rPr>
            </w:pPr>
            <w:r>
              <w:rPr>
                <w:rFonts w:ascii="宋体" w:hAnsi="宋体" w:eastAsia="宋体" w:cs="宋体"/>
                <w:color w:val="383838"/>
                <w:kern w:val="0"/>
                <w:sz w:val="24"/>
                <w:szCs w:val="24"/>
              </w:rPr>
              <w:t>货物（服务）名称</w:t>
            </w:r>
          </w:p>
        </w:tc>
        <w:tc>
          <w:tcPr>
            <w:tcW w:w="1979"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ascii="宋体" w:hAnsi="宋体" w:eastAsia="宋体" w:cs="宋体"/>
                <w:color w:val="383838"/>
                <w:kern w:val="0"/>
                <w:sz w:val="24"/>
                <w:szCs w:val="24"/>
              </w:rPr>
            </w:pPr>
            <w:r>
              <w:rPr>
                <w:rFonts w:ascii="宋体" w:hAnsi="宋体" w:eastAsia="宋体" w:cs="宋体"/>
                <w:color w:val="383838"/>
                <w:kern w:val="0"/>
                <w:sz w:val="24"/>
                <w:szCs w:val="24"/>
              </w:rPr>
              <w:t>主要技术规格</w:t>
            </w:r>
          </w:p>
        </w:tc>
        <w:tc>
          <w:tcPr>
            <w:tcW w:w="428"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ascii="宋体" w:hAnsi="宋体" w:eastAsia="宋体" w:cs="宋体"/>
                <w:color w:val="383838"/>
                <w:kern w:val="0"/>
                <w:sz w:val="24"/>
                <w:szCs w:val="24"/>
              </w:rPr>
            </w:pPr>
            <w:r>
              <w:rPr>
                <w:rFonts w:ascii="宋体" w:hAnsi="宋体" w:eastAsia="宋体" w:cs="宋体"/>
                <w:color w:val="383838"/>
                <w:kern w:val="0"/>
                <w:sz w:val="24"/>
                <w:szCs w:val="24"/>
              </w:rPr>
              <w:t>数量</w:t>
            </w:r>
          </w:p>
        </w:tc>
        <w:tc>
          <w:tcPr>
            <w:tcW w:w="856"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ascii="宋体" w:hAnsi="宋体" w:eastAsia="宋体" w:cs="宋体"/>
                <w:color w:val="383838"/>
                <w:kern w:val="0"/>
                <w:sz w:val="24"/>
                <w:szCs w:val="24"/>
              </w:rPr>
            </w:pPr>
            <w:r>
              <w:rPr>
                <w:rFonts w:ascii="宋体" w:hAnsi="宋体" w:eastAsia="宋体" w:cs="宋体"/>
                <w:color w:val="383838"/>
                <w:kern w:val="0"/>
                <w:sz w:val="24"/>
                <w:szCs w:val="24"/>
              </w:rPr>
              <w:t>最高限价</w:t>
            </w:r>
          </w:p>
          <w:p>
            <w:pPr>
              <w:widowControl/>
              <w:jc w:val="center"/>
              <w:textAlignment w:val="baseline"/>
              <w:rPr>
                <w:rFonts w:ascii="宋体" w:hAnsi="宋体" w:eastAsia="宋体" w:cs="宋体"/>
                <w:color w:val="383838"/>
                <w:kern w:val="0"/>
                <w:sz w:val="24"/>
                <w:szCs w:val="24"/>
              </w:rPr>
            </w:pPr>
            <w:r>
              <w:rPr>
                <w:rFonts w:ascii="宋体" w:hAnsi="宋体" w:eastAsia="宋体" w:cs="宋体"/>
                <w:color w:val="383838"/>
                <w:kern w:val="0"/>
                <w:sz w:val="24"/>
                <w:szCs w:val="24"/>
              </w:rPr>
              <w:t>（人民币：万元）</w:t>
            </w:r>
            <w:r>
              <w:rPr>
                <w:rFonts w:ascii="宋体" w:hAnsi="宋体" w:eastAsia="宋体" w:cs="Calibri"/>
                <w:color w:val="383838"/>
                <w:kern w:val="0"/>
                <w:sz w:val="24"/>
                <w:szCs w:val="24"/>
              </w:rPr>
              <w:t> </w:t>
            </w:r>
          </w:p>
        </w:tc>
        <w:tc>
          <w:tcPr>
            <w:tcW w:w="769"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hint="eastAsia" w:ascii="宋体" w:hAnsi="宋体" w:eastAsia="宋体" w:cs="宋体"/>
                <w:color w:val="FF0000"/>
                <w:kern w:val="0"/>
                <w:sz w:val="24"/>
                <w:szCs w:val="24"/>
                <w:highlight w:val="none"/>
                <w:lang w:val="en-US" w:eastAsia="zh-CN"/>
              </w:rPr>
            </w:pPr>
            <w:r>
              <w:rPr>
                <w:rFonts w:hint="eastAsia" w:ascii="宋体" w:hAnsi="宋体" w:eastAsia="宋体" w:cs="宋体"/>
                <w:color w:val="FF0000"/>
                <w:kern w:val="0"/>
                <w:sz w:val="24"/>
                <w:szCs w:val="24"/>
                <w:highlight w:val="none"/>
                <w:lang w:val="en-US" w:eastAsia="zh-CN"/>
              </w:rPr>
              <w:t>报价</w:t>
            </w:r>
          </w:p>
          <w:p>
            <w:pPr>
              <w:widowControl/>
              <w:jc w:val="center"/>
              <w:textAlignment w:val="baseline"/>
              <w:rPr>
                <w:rFonts w:hint="default" w:ascii="宋体" w:hAnsi="宋体" w:eastAsia="宋体" w:cs="宋体"/>
                <w:color w:val="FF0000"/>
                <w:kern w:val="0"/>
                <w:sz w:val="24"/>
                <w:szCs w:val="24"/>
                <w:highlight w:val="none"/>
                <w:lang w:val="en-US" w:eastAsia="zh-CN"/>
              </w:rPr>
            </w:pPr>
            <w:r>
              <w:rPr>
                <w:rFonts w:hint="eastAsia" w:ascii="宋体" w:hAnsi="宋体" w:eastAsia="宋体" w:cs="宋体"/>
                <w:color w:val="FF0000"/>
                <w:kern w:val="0"/>
                <w:sz w:val="24"/>
                <w:szCs w:val="24"/>
                <w:highlight w:val="none"/>
                <w:lang w:val="en-US" w:eastAsia="zh-CN"/>
              </w:rPr>
              <w:t>（人民币：万元）</w:t>
            </w:r>
          </w:p>
        </w:tc>
        <w:tc>
          <w:tcPr>
            <w:tcW w:w="550" w:type="pct"/>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baseline"/>
              <w:rPr>
                <w:rFonts w:hint="default" w:ascii="宋体" w:hAnsi="宋体" w:eastAsia="宋体" w:cs="宋体"/>
                <w:color w:val="FF0000"/>
                <w:kern w:val="0"/>
                <w:sz w:val="24"/>
                <w:szCs w:val="24"/>
                <w:highlight w:val="none"/>
                <w:lang w:val="en-US" w:eastAsia="zh-CN"/>
              </w:rPr>
            </w:pPr>
            <w:r>
              <w:rPr>
                <w:rFonts w:hint="eastAsia" w:ascii="宋体" w:hAnsi="宋体" w:eastAsia="宋体" w:cs="宋体"/>
                <w:color w:val="FF0000"/>
                <w:kern w:val="0"/>
                <w:sz w:val="24"/>
                <w:szCs w:val="24"/>
                <w:highlight w:val="none"/>
                <w:lang w:val="en-US" w:eastAsia="zh-CN"/>
              </w:rPr>
              <w:t>备注</w:t>
            </w:r>
          </w:p>
        </w:tc>
      </w:tr>
      <w:tr>
        <w:tblPrEx>
          <w:shd w:val="clear" w:color="auto" w:fill="FFFFFF"/>
          <w:tblCellMar>
            <w:top w:w="15" w:type="dxa"/>
            <w:left w:w="15" w:type="dxa"/>
            <w:bottom w:w="15" w:type="dxa"/>
            <w:right w:w="15" w:type="dxa"/>
          </w:tblCellMar>
        </w:tblPrEx>
        <w:trPr>
          <w:trHeight w:val="5244" w:hRule="atLeast"/>
        </w:trPr>
        <w:tc>
          <w:tcPr>
            <w:tcW w:w="415"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383838"/>
                <w:kern w:val="0"/>
                <w:sz w:val="24"/>
                <w:szCs w:val="24"/>
              </w:rPr>
            </w:pPr>
            <w:r>
              <w:rPr>
                <w:rFonts w:hint="eastAsia" w:ascii="宋体" w:hAnsi="宋体" w:eastAsia="宋体" w:cs="宋体"/>
                <w:color w:val="383838"/>
                <w:kern w:val="0"/>
                <w:sz w:val="24"/>
                <w:szCs w:val="24"/>
              </w:rPr>
              <w:t>蚌埠学院合同用工劳务派遣</w:t>
            </w:r>
          </w:p>
        </w:tc>
        <w:tc>
          <w:tcPr>
            <w:tcW w:w="1979"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1.学校确定劳务派遣的工作岗位、工作任务和工作要求及拟聘人员信息。</w:t>
            </w:r>
          </w:p>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2.劳务派遣承担单位与学校推荐劳务派遣人员签订书面劳动合同，新进人员招聘由劳务派遣单位出具委托书委托学校代为招聘。</w:t>
            </w:r>
          </w:p>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3.学校按照双方约定的劳务派遣费用标准支付劳务派遣人员管理费。</w:t>
            </w:r>
          </w:p>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4.劳务派遣承担单位必须为劳务派遣人员按时足额发放工资并足额缴纳各项社会保险。费用由学校按月据实结算。</w:t>
            </w:r>
          </w:p>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5.劳务派遣人员在工作期间发生工伤，劳务派遣承担单位应承担工伤认定申请和劳动能力鉴定申请以及负责协调工作。工伤认定申请和劳动能力鉴定申请结束后，由劳务派遣承担单位按照《工伤保险条例》的有关规定履行用人单位的义务，并按有关规定执行。</w:t>
            </w:r>
          </w:p>
          <w:p>
            <w:pPr>
              <w:adjustRightInd w:val="0"/>
              <w:snapToGrid w:val="0"/>
              <w:spacing w:line="200" w:lineRule="atLeast"/>
              <w:rPr>
                <w:rFonts w:ascii="仿宋" w:hAnsi="仿宋" w:eastAsia="仿宋" w:cs="仿宋"/>
                <w:sz w:val="24"/>
                <w:szCs w:val="24"/>
              </w:rPr>
            </w:pPr>
            <w:r>
              <w:rPr>
                <w:rFonts w:hint="eastAsia" w:ascii="仿宋" w:hAnsi="仿宋" w:eastAsia="仿宋" w:cs="仿宋"/>
                <w:sz w:val="24"/>
                <w:szCs w:val="24"/>
              </w:rPr>
              <w:t>6.按</w:t>
            </w:r>
            <w:r>
              <w:rPr>
                <w:rFonts w:ascii="仿宋" w:hAnsi="仿宋" w:eastAsia="仿宋" w:cs="仿宋"/>
                <w:sz w:val="24"/>
                <w:szCs w:val="24"/>
              </w:rPr>
              <w:t>15</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人</w:t>
            </w:r>
            <w:r>
              <w:rPr>
                <w:rFonts w:ascii="仿宋" w:hAnsi="仿宋" w:eastAsia="仿宋" w:cs="仿宋"/>
                <w:sz w:val="24"/>
                <w:szCs w:val="24"/>
              </w:rPr>
              <w:t>/</w:t>
            </w:r>
            <w:r>
              <w:rPr>
                <w:rFonts w:hint="eastAsia" w:ascii="仿宋" w:hAnsi="仿宋" w:eastAsia="仿宋" w:cs="仿宋"/>
                <w:sz w:val="24"/>
                <w:szCs w:val="24"/>
              </w:rPr>
              <w:t>月标准，暂按</w:t>
            </w:r>
            <w:r>
              <w:rPr>
                <w:rFonts w:ascii="仿宋" w:hAnsi="仿宋" w:eastAsia="仿宋" w:cs="仿宋"/>
                <w:sz w:val="24"/>
                <w:szCs w:val="24"/>
              </w:rPr>
              <w:t>60</w:t>
            </w:r>
            <w:r>
              <w:rPr>
                <w:rFonts w:hint="eastAsia" w:ascii="仿宋" w:hAnsi="仿宋" w:eastAsia="仿宋" w:cs="仿宋"/>
                <w:sz w:val="24"/>
                <w:szCs w:val="24"/>
              </w:rPr>
              <w:t>人计算。</w:t>
            </w:r>
          </w:p>
          <w:p>
            <w:pPr>
              <w:widowControl/>
              <w:jc w:val="left"/>
              <w:rPr>
                <w:rFonts w:ascii="宋体" w:hAnsi="宋体" w:eastAsia="宋体" w:cs="宋体"/>
                <w:color w:val="383838"/>
                <w:kern w:val="0"/>
                <w:sz w:val="24"/>
                <w:szCs w:val="24"/>
              </w:rPr>
            </w:pPr>
            <w:r>
              <w:rPr>
                <w:rFonts w:hint="eastAsia" w:ascii="仿宋" w:hAnsi="仿宋" w:eastAsia="仿宋" w:cs="Times New Roman"/>
                <w:sz w:val="24"/>
                <w:szCs w:val="24"/>
              </w:rPr>
              <w:t>7.合同签订后，学校将之前所欠工资转给中标公司，由中标公司转给原中标公司。</w:t>
            </w:r>
          </w:p>
        </w:tc>
        <w:tc>
          <w:tcPr>
            <w:tcW w:w="428"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383838"/>
                <w:kern w:val="0"/>
                <w:sz w:val="24"/>
                <w:szCs w:val="24"/>
              </w:rPr>
            </w:pPr>
            <w:r>
              <w:rPr>
                <w:rFonts w:hint="eastAsia" w:ascii="宋体" w:hAnsi="宋体" w:eastAsia="宋体" w:cs="宋体"/>
                <w:color w:val="383838"/>
                <w:kern w:val="0"/>
                <w:sz w:val="24"/>
                <w:szCs w:val="24"/>
              </w:rPr>
              <w:t>60人</w:t>
            </w:r>
          </w:p>
        </w:tc>
        <w:tc>
          <w:tcPr>
            <w:tcW w:w="856"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eastAsia="宋体" w:cs="宋体"/>
                <w:color w:val="383838"/>
                <w:kern w:val="0"/>
                <w:sz w:val="24"/>
                <w:szCs w:val="24"/>
              </w:rPr>
            </w:pPr>
            <w:r>
              <w:rPr>
                <w:rFonts w:hint="eastAsia" w:ascii="宋体" w:hAnsi="宋体" w:eastAsia="宋体" w:cs="宋体"/>
                <w:color w:val="383838"/>
                <w:kern w:val="0"/>
                <w:sz w:val="24"/>
                <w:szCs w:val="24"/>
              </w:rPr>
              <w:t>1.08</w:t>
            </w:r>
          </w:p>
        </w:tc>
        <w:tc>
          <w:tcPr>
            <w:tcW w:w="769"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eastAsia="宋体" w:cs="宋体"/>
                <w:color w:val="383838"/>
                <w:kern w:val="0"/>
                <w:sz w:val="24"/>
                <w:szCs w:val="24"/>
              </w:rPr>
            </w:pPr>
          </w:p>
        </w:tc>
        <w:tc>
          <w:tcPr>
            <w:tcW w:w="550" w:type="pct"/>
            <w:tcBorders>
              <w:top w:val="nil"/>
              <w:left w:val="single" w:color="auto" w:sz="8" w:space="0"/>
              <w:bottom w:val="single" w:color="auto" w:sz="8" w:space="0"/>
              <w:right w:val="single" w:color="auto" w:sz="8"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eastAsia="宋体" w:cs="宋体"/>
                <w:color w:val="383838"/>
                <w:kern w:val="0"/>
                <w:sz w:val="24"/>
                <w:szCs w:val="24"/>
              </w:rPr>
            </w:pPr>
            <w:bookmarkStart w:id="0" w:name="_GoBack"/>
            <w:bookmarkEnd w:id="0"/>
          </w:p>
        </w:tc>
      </w:tr>
    </w:tbl>
    <w:p>
      <w:pPr>
        <w:jc w:val="center"/>
        <w:rPr>
          <w:rFonts w:hint="eastAsia" w:ascii="宋体" w:hAnsi="宋体" w:eastAsia="宋体" w:cs="宋体"/>
          <w:b/>
          <w:bCs/>
          <w:color w:val="383838"/>
          <w:kern w:val="0"/>
          <w:sz w:val="44"/>
          <w:szCs w:val="44"/>
          <w:lang w:val="en-US" w:eastAsia="zh-CN"/>
        </w:rPr>
      </w:pPr>
      <w:r>
        <w:rPr>
          <w:rFonts w:hint="eastAsia" w:ascii="宋体" w:hAnsi="宋体" w:eastAsia="宋体" w:cs="宋体"/>
          <w:b/>
          <w:bCs/>
          <w:color w:val="383838"/>
          <w:kern w:val="0"/>
          <w:sz w:val="44"/>
          <w:szCs w:val="44"/>
        </w:rPr>
        <w:t>蚌埠学院合同用工劳务派遣</w:t>
      </w:r>
      <w:r>
        <w:rPr>
          <w:rFonts w:hint="eastAsia" w:ascii="宋体" w:hAnsi="宋体" w:eastAsia="宋体" w:cs="宋体"/>
          <w:b/>
          <w:bCs/>
          <w:color w:val="383838"/>
          <w:kern w:val="0"/>
          <w:sz w:val="44"/>
          <w:szCs w:val="44"/>
          <w:lang w:val="en-US" w:eastAsia="zh-CN"/>
        </w:rPr>
        <w:t>项目报价单</w:t>
      </w:r>
    </w:p>
    <w:p>
      <w:pPr>
        <w:jc w:val="left"/>
        <w:rPr>
          <w:rFonts w:hint="default" w:ascii="宋体" w:hAnsi="宋体" w:eastAsia="宋体" w:cs="宋体"/>
          <w:b w:val="0"/>
          <w:bCs w:val="0"/>
          <w:color w:val="383838"/>
          <w:kern w:val="0"/>
          <w:sz w:val="28"/>
          <w:szCs w:val="28"/>
          <w:lang w:val="en-US" w:eastAsia="zh-CN"/>
        </w:rPr>
      </w:pPr>
      <w:r>
        <w:rPr>
          <w:rFonts w:hint="eastAsia" w:ascii="宋体" w:hAnsi="宋体" w:eastAsia="宋体" w:cs="宋体"/>
          <w:b w:val="0"/>
          <w:bCs w:val="0"/>
          <w:color w:val="383838"/>
          <w:kern w:val="0"/>
          <w:sz w:val="28"/>
          <w:szCs w:val="28"/>
          <w:lang w:val="en-US" w:eastAsia="zh-CN"/>
        </w:rPr>
        <w:t>报价单位（盖章）：</w:t>
      </w:r>
    </w:p>
    <w:p>
      <w:pPr>
        <w:jc w:val="center"/>
        <w:rPr>
          <w:rFonts w:hint="eastAsia" w:ascii="宋体" w:hAnsi="宋体" w:eastAsia="宋体" w:cs="宋体"/>
          <w:b/>
          <w:bCs/>
          <w:color w:val="383838"/>
          <w:kern w:val="0"/>
          <w:sz w:val="44"/>
          <w:szCs w:val="44"/>
          <w:lang w:val="en-US" w:eastAsia="zh-CN"/>
        </w:rPr>
      </w:pPr>
    </w:p>
    <w:p>
      <w:pPr>
        <w:jc w:val="center"/>
        <w:rPr>
          <w:rFonts w:hint="default" w:ascii="宋体" w:hAnsi="宋体" w:eastAsia="宋体" w:cs="宋体"/>
          <w:b/>
          <w:bCs/>
          <w:color w:val="383838"/>
          <w:kern w:val="0"/>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ZGRhN2MyYzNiMmIyZGE5OWQ2YmVjMTcyNGFjYjcifQ=="/>
  </w:docVars>
  <w:rsids>
    <w:rsidRoot w:val="7BE77933"/>
    <w:rsid w:val="0CDA5056"/>
    <w:rsid w:val="56D74347"/>
    <w:rsid w:val="7BE7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2023-01-05T07:17:00Z</dcterms:created>
  <dc:creator>三三</dc:creator>
  <cp:lastModifiedBy>三三</cp:lastModifiedBy>
  <dcterms:modified xsi:type="dcterms:W3CDTF">2023-01-05T07:23:54Z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F1168C95961D464199E0BB7A0B1E954C</vt:lpwstr>
  </property>
</Properties>
</file>